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OLE_LINK6"/>
      <w:bookmarkStart w:id="1" w:name="OLE_LINK5"/>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R4-2000053</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Online</w:t>
      </w:r>
      <w:bookmarkStart w:id="3" w:name="_GoBack"/>
      <w:bookmarkEnd w:id="3"/>
      <w:r>
        <w:rPr>
          <w:rFonts w:hint="eastAsia" w:ascii="Arial" w:hAnsi="Arial" w:eastAsia="宋体" w:cs="Times New Roman"/>
          <w:b/>
          <w:bCs/>
          <w:sz w:val="24"/>
          <w:szCs w:val="24"/>
          <w:lang w:val="en-GB"/>
        </w:rPr>
        <w:t>, 24 - 28 February, 2020</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RLM</w:t>
      </w:r>
      <w:r>
        <w:rPr>
          <w:rFonts w:hint="eastAsia" w:ascii="Arial" w:hAnsi="Arial" w:eastAsia="Calibri" w:cs="Arial"/>
          <w:b/>
          <w:bCs/>
          <w:sz w:val="24"/>
          <w:lang w:val="en-GB"/>
        </w:rPr>
        <w:t xml:space="preserve"> requirements for IAB</w:t>
      </w:r>
      <w:r>
        <w:rPr>
          <w:rFonts w:hint="eastAsia" w:ascii="Arial" w:hAnsi="Arial" w:eastAsia="宋体" w:cs="Arial"/>
          <w:b/>
          <w:bCs/>
          <w:sz w:val="24"/>
          <w:lang w:val="en-US" w:eastAsia="zh-CN"/>
        </w:rPr>
        <w:t xml:space="preserve"> MT</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8.5.5.4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In RAN4 93 meeting, the issue of RLM requirements for IAB MTs has been discussed [1]. Some companies proposed to reuse Rel-15 UE requirements [2]. In RAN 86 meeting [3], some agreements were reached:</w:t>
      </w:r>
    </w:p>
    <w:tbl>
      <w:tblPr>
        <w:tblStyle w:val="22"/>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numPr>
                <w:ilvl w:val="0"/>
                <w:numId w:val="0"/>
              </w:numPr>
              <w:overflowPunct w:val="0"/>
              <w:autoSpaceDE w:val="0"/>
              <w:autoSpaceDN w:val="0"/>
              <w:adjustRightInd w:val="0"/>
              <w:spacing w:after="0" w:line="240" w:lineRule="auto"/>
              <w:jc w:val="both"/>
            </w:pPr>
            <w:r>
              <w:drawing>
                <wp:inline distT="0" distB="0" distL="114300" distR="114300">
                  <wp:extent cx="5899150" cy="1998345"/>
                  <wp:effectExtent l="0" t="0" r="635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899150" cy="1998345"/>
                          </a:xfrm>
                          <a:prstGeom prst="rect">
                            <a:avLst/>
                          </a:prstGeom>
                          <a:noFill/>
                          <a:ln>
                            <a:noFill/>
                          </a:ln>
                        </pic:spPr>
                      </pic:pic>
                    </a:graphicData>
                  </a:graphic>
                </wp:inline>
              </w:drawing>
            </w:r>
          </w:p>
          <w:p>
            <w:pPr>
              <w:numPr>
                <w:ilvl w:val="0"/>
                <w:numId w:val="0"/>
              </w:numPr>
              <w:overflowPunct w:val="0"/>
              <w:autoSpaceDE w:val="0"/>
              <w:autoSpaceDN w:val="0"/>
              <w:adjustRightInd w:val="0"/>
              <w:spacing w:after="0" w:line="240" w:lineRule="auto"/>
              <w:jc w:val="both"/>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numPr>
                <w:ilvl w:val="0"/>
                <w:numId w:val="0"/>
              </w:numPr>
              <w:overflowPunct w:val="0"/>
              <w:autoSpaceDE w:val="0"/>
              <w:autoSpaceDN w:val="0"/>
              <w:adjustRightInd w:val="0"/>
              <w:spacing w:after="0" w:line="240" w:lineRule="auto"/>
              <w:jc w:val="both"/>
              <w:rPr>
                <w:rFonts w:hint="default" w:eastAsia="宋体"/>
                <w:sz w:val="22"/>
                <w:szCs w:val="22"/>
                <w:vertAlign w:val="baseline"/>
                <w:lang w:val="en-US" w:eastAsia="zh-CN"/>
              </w:rPr>
            </w:pPr>
            <w:r>
              <w:drawing>
                <wp:inline distT="0" distB="0" distL="114300" distR="114300">
                  <wp:extent cx="5739765" cy="3187700"/>
                  <wp:effectExtent l="0" t="0" r="13335"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739765" cy="3187700"/>
                          </a:xfrm>
                          <a:prstGeom prst="rect">
                            <a:avLst/>
                          </a:prstGeom>
                          <a:noFill/>
                          <a:ln>
                            <a:noFill/>
                          </a:ln>
                        </pic:spPr>
                      </pic:pic>
                    </a:graphicData>
                  </a:graphic>
                </wp:inline>
              </w:drawing>
            </w:r>
          </w:p>
        </w:tc>
      </w:tr>
    </w:tbl>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In this paper, we tend to discuss the issue of RLM requirements for IAB MTs and provide our view.</w:t>
      </w:r>
    </w:p>
    <w:p>
      <w:pPr>
        <w:pStyle w:val="27"/>
        <w:numPr>
          <w:ilvl w:val="0"/>
          <w:numId w:val="6"/>
        </w:numPr>
        <w:jc w:val="both"/>
        <w:rPr>
          <w:rFonts w:hint="eastAsia"/>
          <w:lang w:val="en-US" w:eastAsia="zh-CN"/>
        </w:rPr>
      </w:pPr>
      <w:r>
        <w:rPr>
          <w:rFonts w:hint="eastAsia"/>
          <w:lang w:val="en-US" w:eastAsia="zh-CN"/>
        </w:rPr>
        <w:t>RLM for IAB MT</w:t>
      </w:r>
    </w:p>
    <w:p>
      <w:pPr>
        <w:pStyle w:val="27"/>
        <w:numPr>
          <w:ilvl w:val="0"/>
          <w:numId w:val="0"/>
        </w:numPr>
        <w:ind w:leftChars="0"/>
        <w:jc w:val="both"/>
        <w:rPr>
          <w:rFonts w:hint="default" w:ascii="Times New Roman" w:hAnsi="Times New Roman" w:eastAsia="宋体" w:cstheme="minorBidi"/>
          <w:sz w:val="22"/>
          <w:szCs w:val="22"/>
          <w:lang w:val="en-US" w:eastAsia="zh-CN" w:bidi="ar-SA"/>
        </w:rPr>
      </w:pPr>
      <w:r>
        <w:rPr>
          <w:rFonts w:hint="eastAsia" w:ascii="Times New Roman" w:hAnsi="Times New Roman" w:cstheme="minorBidi"/>
          <w:sz w:val="22"/>
          <w:szCs w:val="22"/>
          <w:lang w:val="en-US" w:eastAsia="zh-CN" w:bidi="ar-SA"/>
        </w:rPr>
        <w:t xml:space="preserve">As agreed in RAN 86 meeting, there will be different types of IAB nodes defined. In our view, it makes most sense to define different types of IAB MTs other than to define different types of IAB DUs, as analyzed in our paper </w:t>
      </w:r>
      <w:r>
        <w:rPr>
          <w:rFonts w:hint="eastAsia" w:ascii="Times New Roman" w:hAnsi="Times New Roman" w:cstheme="minorBidi"/>
          <w:color w:val="FF0000"/>
          <w:sz w:val="22"/>
          <w:szCs w:val="22"/>
          <w:lang w:val="en-US" w:eastAsia="zh-CN" w:bidi="ar-SA"/>
        </w:rPr>
        <w:t>[4]</w:t>
      </w:r>
      <w:r>
        <w:rPr>
          <w:rFonts w:hint="eastAsia" w:ascii="Times New Roman" w:hAnsi="Times New Roman" w:cstheme="minorBidi"/>
          <w:sz w:val="22"/>
          <w:szCs w:val="22"/>
          <w:lang w:val="en-US" w:eastAsia="zh-CN" w:bidi="ar-SA"/>
        </w:rPr>
        <w:t>. It</w:t>
      </w:r>
      <w:r>
        <w:rPr>
          <w:rFonts w:hint="default" w:ascii="Times New Roman" w:hAnsi="Times New Roman" w:cstheme="minorBidi"/>
          <w:sz w:val="22"/>
          <w:szCs w:val="22"/>
          <w:lang w:val="en-US" w:eastAsia="zh-CN" w:bidi="ar-SA"/>
        </w:rPr>
        <w:t>’</w:t>
      </w:r>
      <w:r>
        <w:rPr>
          <w:rFonts w:hint="eastAsia" w:ascii="Times New Roman" w:hAnsi="Times New Roman" w:cstheme="minorBidi"/>
          <w:sz w:val="22"/>
          <w:szCs w:val="22"/>
          <w:lang w:val="en-US" w:eastAsia="zh-CN" w:bidi="ar-SA"/>
        </w:rPr>
        <w:t>s also agreed that the RLM requirements would only be applicable to micro type of IAB nodes.</w:t>
      </w:r>
    </w:p>
    <w:p>
      <w:pPr>
        <w:rPr>
          <w:rFonts w:hint="eastAsia" w:eastAsia="宋体"/>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RLM requirements will only be defined to micro type of IAB nodes.</w:t>
      </w:r>
    </w:p>
    <w:p>
      <w:pPr>
        <w:rPr>
          <w:rFonts w:hint="eastAsia" w:eastAsia="宋体"/>
          <w:sz w:val="22"/>
          <w:szCs w:val="22"/>
          <w:lang w:val="en-US" w:eastAsia="zh-CN"/>
        </w:rPr>
      </w:pPr>
      <w:r>
        <w:rPr>
          <w:rFonts w:hint="eastAsia" w:eastAsia="宋体"/>
          <w:sz w:val="22"/>
          <w:szCs w:val="22"/>
          <w:lang w:val="en-US" w:eastAsia="zh-CN"/>
        </w:rPr>
        <w:t>From our point of view, the idea here is that the micro type IAB node would be more vulnerable to blockage, thus presents a more UE alike behavior from RRM perspective. On the other hand, the IAB node in macro type of deployment is more likely to be fixed and static and deployed at positions which would naturally avoid blockage issues, so this kind of IAB nodes can have a much relaxed RRM requirements or no requirements at all.</w:t>
      </w:r>
    </w:p>
    <w:p>
      <w:pPr>
        <w:rPr>
          <w:rFonts w:hint="default" w:eastAsia="宋体"/>
          <w:sz w:val="22"/>
          <w:szCs w:val="22"/>
          <w:lang w:val="en-US" w:eastAsia="zh-CN"/>
        </w:rPr>
      </w:pPr>
      <w:r>
        <w:rPr>
          <w:rFonts w:hint="eastAsia" w:eastAsia="宋体"/>
          <w:b/>
          <w:bCs/>
          <w:sz w:val="22"/>
          <w:szCs w:val="22"/>
          <w:lang w:val="en-US" w:eastAsia="zh-CN"/>
        </w:rPr>
        <w:t>Observation 2:</w:t>
      </w:r>
      <w:r>
        <w:rPr>
          <w:rFonts w:hint="eastAsia" w:eastAsia="宋体"/>
          <w:sz w:val="22"/>
          <w:szCs w:val="22"/>
          <w:lang w:val="en-US" w:eastAsia="zh-CN"/>
        </w:rPr>
        <w:t xml:space="preserve"> The reason to only have RLM requirements for micro type of IAB nodes (MTs) is that this kind of nodes are more UE alike (for instance antenna height).</w:t>
      </w:r>
    </w:p>
    <w:p>
      <w:pPr>
        <w:rPr>
          <w:rFonts w:hint="default" w:eastAsia="宋体"/>
          <w:sz w:val="22"/>
          <w:szCs w:val="22"/>
          <w:lang w:val="en-US" w:eastAsia="zh-CN"/>
        </w:rPr>
      </w:pPr>
      <w:r>
        <w:rPr>
          <w:rFonts w:hint="eastAsia" w:eastAsia="宋体"/>
          <w:sz w:val="22"/>
          <w:szCs w:val="22"/>
          <w:lang w:val="en-US" w:eastAsia="zh-CN"/>
        </w:rPr>
        <w:t>Thus, based on this assumption, we suggest to re-use Rel-15 UE RLM requirements for micro type of IAB nodes (MTs). This would be consistent to the decision made in RAN 86 meeting that the RLM requirements are only applicable to micro type of IAB nodes (MTs) but not the macro type.</w:t>
      </w:r>
    </w:p>
    <w:p>
      <w:pPr>
        <w:pStyle w:val="35"/>
        <w:rPr>
          <w:rFonts w:hint="default" w:eastAsia="宋体"/>
          <w:sz w:val="22"/>
          <w:szCs w:val="22"/>
          <w:lang w:val="en-US" w:eastAsia="zh-CN"/>
        </w:rPr>
      </w:pPr>
      <w:r>
        <w:rPr>
          <w:rFonts w:hint="eastAsia" w:eastAsia="宋体"/>
          <w:sz w:val="22"/>
          <w:szCs w:val="22"/>
          <w:lang w:val="en-US" w:eastAsia="zh-CN"/>
        </w:rPr>
        <w:t>Re-use Rel-15 UE RLM requirements for micro type of IAB nodes (MTs) unless there are special RAN1 / RAN2 mechanisms for IAB MTs defined</w:t>
      </w:r>
      <w:r>
        <w:rPr>
          <w:rFonts w:hint="eastAsia" w:eastAsia="宋体" w:cs="v4.2.0"/>
          <w:sz w:val="22"/>
          <w:szCs w:val="22"/>
          <w:vertAlign w:val="baseline"/>
          <w:lang w:val="en-US" w:eastAsia="zh-CN"/>
        </w:rPr>
        <w:t>.</w:t>
      </w:r>
    </w:p>
    <w:p>
      <w:pPr>
        <w:pStyle w:val="27"/>
        <w:jc w:val="both"/>
      </w:pPr>
      <w:r>
        <w:rPr>
          <w:rFonts w:hint="eastAsia"/>
          <w:lang w:val="en-US" w:eastAsia="zh-CN"/>
        </w:rPr>
        <w:t>3</w:t>
      </w:r>
      <w:r>
        <w:tab/>
      </w:r>
      <w:r>
        <w:t>Conclusion</w:t>
      </w:r>
    </w:p>
    <w:p>
      <w:pPr>
        <w:rPr>
          <w:rFonts w:hint="eastAsia" w:eastAsia="宋体"/>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RLM requirements will only be defined to micro type of IAB nodes.</w:t>
      </w:r>
    </w:p>
    <w:p>
      <w:pPr>
        <w:rPr>
          <w:rFonts w:hint="eastAsia" w:eastAsia="宋体"/>
          <w:sz w:val="22"/>
          <w:szCs w:val="22"/>
          <w:lang w:val="en-US" w:eastAsia="zh-CN"/>
        </w:rPr>
      </w:pPr>
      <w:r>
        <w:rPr>
          <w:rFonts w:hint="eastAsia" w:eastAsia="宋体"/>
          <w:b/>
          <w:bCs/>
          <w:sz w:val="22"/>
          <w:szCs w:val="22"/>
          <w:lang w:val="en-US" w:eastAsia="zh-CN"/>
        </w:rPr>
        <w:t>Observation 2:</w:t>
      </w:r>
      <w:r>
        <w:rPr>
          <w:rFonts w:hint="eastAsia" w:eastAsia="宋体"/>
          <w:sz w:val="22"/>
          <w:szCs w:val="22"/>
          <w:lang w:val="en-US" w:eastAsia="zh-CN"/>
        </w:rPr>
        <w:t xml:space="preserve"> The reason to only have RLM requirements for micro type of IAB nodes (MTs) is that this kind of nodes are more UE alike (for instance antenna height).</w:t>
      </w:r>
    </w:p>
    <w:p>
      <w:pPr>
        <w:pStyle w:val="35"/>
        <w:numPr>
          <w:ilvl w:val="0"/>
          <w:numId w:val="0"/>
        </w:numPr>
        <w:ind w:leftChars="0"/>
        <w:rPr>
          <w:sz w:val="22"/>
          <w:szCs w:val="22"/>
        </w:rPr>
      </w:pPr>
      <w:r>
        <w:rPr>
          <w:rFonts w:hint="eastAsia"/>
          <w:sz w:val="22"/>
          <w:szCs w:val="22"/>
          <w:lang w:val="en-US" w:eastAsia="zh-CN"/>
        </w:rPr>
        <w:t xml:space="preserve">Proposal 1: </w:t>
      </w:r>
      <w:r>
        <w:rPr>
          <w:rFonts w:hint="eastAsia" w:eastAsia="宋体"/>
          <w:sz w:val="22"/>
          <w:szCs w:val="22"/>
          <w:lang w:val="en-US" w:eastAsia="zh-CN"/>
        </w:rPr>
        <w:t>Re-use Rel-15 UE RLM requirements for micro type of IAB nodes (MTs) unless there are special RAN1 / RAN2 mechanisms for IAB MTs defined</w:t>
      </w:r>
      <w:r>
        <w:rPr>
          <w:rFonts w:hint="eastAsia"/>
          <w:sz w:val="22"/>
          <w:szCs w:val="22"/>
          <w:lang w:val="en-US" w:eastAsia="zh-CN"/>
        </w:rPr>
        <w:t>.</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lang w:val="en-GB"/>
        </w:rPr>
      </w:pPr>
      <w:bookmarkStart w:id="2" w:name="_Ref2843888"/>
      <w:r>
        <w:rPr>
          <w:rFonts w:hint="eastAsia"/>
          <w:lang w:val="en-GB"/>
        </w:rPr>
        <w:t>R4-191579</w:t>
      </w:r>
      <w:r>
        <w:rPr>
          <w:rFonts w:hint="eastAsia" w:eastAsia="宋体"/>
          <w:lang w:val="en-US" w:eastAsia="zh-CN"/>
        </w:rPr>
        <w:t>8</w:t>
      </w:r>
    </w:p>
    <w:bookmarkEnd w:id="2"/>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R4-1914986</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RP-193199</w:t>
      </w:r>
    </w:p>
    <w:p>
      <w:pPr>
        <w:numPr>
          <w:ilvl w:val="0"/>
          <w:numId w:val="7"/>
        </w:numPr>
        <w:overflowPunct w:val="0"/>
        <w:autoSpaceDE w:val="0"/>
        <w:autoSpaceDN w:val="0"/>
        <w:adjustRightInd w:val="0"/>
        <w:spacing w:after="120" w:line="240" w:lineRule="auto"/>
        <w:jc w:val="both"/>
        <w:textAlignment w:val="baseline"/>
        <w:rPr>
          <w:color w:val="FF0000"/>
          <w:lang w:val="en-GB"/>
        </w:rPr>
      </w:pPr>
      <w:r>
        <w:rPr>
          <w:rFonts w:hint="eastAsia" w:eastAsia="宋体"/>
          <w:color w:val="FF0000"/>
          <w:lang w:val="en-US" w:eastAsia="zh-CN"/>
        </w:rPr>
        <w:t>R4-20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Mincho"/>
    <w:panose1 w:val="00000000000000000000"/>
    <w:charset w:val="80"/>
    <w:family w:val="roman"/>
    <w:pitch w:val="default"/>
    <w:sig w:usb0="00000000" w:usb1="00000000" w:usb2="00000012" w:usb3="00000000" w:csb0="0002009F"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v4.2.0">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C13D89"/>
    <w:multiLevelType w:val="singleLevel"/>
    <w:tmpl w:val="EFC13D89"/>
    <w:lvl w:ilvl="0" w:tentative="0">
      <w:start w:val="2"/>
      <w:numFmt w:val="decimal"/>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660D4"/>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277BA"/>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16EDC"/>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510722"/>
    <w:rsid w:val="02B274E2"/>
    <w:rsid w:val="02B92778"/>
    <w:rsid w:val="02C25D33"/>
    <w:rsid w:val="02D94781"/>
    <w:rsid w:val="03C6506D"/>
    <w:rsid w:val="03F37217"/>
    <w:rsid w:val="04C77D0A"/>
    <w:rsid w:val="04D5204C"/>
    <w:rsid w:val="059B61E4"/>
    <w:rsid w:val="05A86143"/>
    <w:rsid w:val="06017876"/>
    <w:rsid w:val="06105DAC"/>
    <w:rsid w:val="062F1DED"/>
    <w:rsid w:val="06742092"/>
    <w:rsid w:val="069766CC"/>
    <w:rsid w:val="07502CA2"/>
    <w:rsid w:val="078B76F8"/>
    <w:rsid w:val="079D410C"/>
    <w:rsid w:val="080661C8"/>
    <w:rsid w:val="08641205"/>
    <w:rsid w:val="0868025F"/>
    <w:rsid w:val="0873226E"/>
    <w:rsid w:val="08935729"/>
    <w:rsid w:val="08C654D4"/>
    <w:rsid w:val="08CC5D10"/>
    <w:rsid w:val="092C45E6"/>
    <w:rsid w:val="099F556C"/>
    <w:rsid w:val="09C640C3"/>
    <w:rsid w:val="0A5763D4"/>
    <w:rsid w:val="0A7BF868"/>
    <w:rsid w:val="0B2F05F5"/>
    <w:rsid w:val="0B7322DC"/>
    <w:rsid w:val="0BB77882"/>
    <w:rsid w:val="0C3C5307"/>
    <w:rsid w:val="0C56263C"/>
    <w:rsid w:val="0C5E2B8A"/>
    <w:rsid w:val="0D102274"/>
    <w:rsid w:val="0DA958CA"/>
    <w:rsid w:val="0DF104D3"/>
    <w:rsid w:val="0E1C586B"/>
    <w:rsid w:val="0E5237AB"/>
    <w:rsid w:val="0E72052E"/>
    <w:rsid w:val="0ED138E6"/>
    <w:rsid w:val="0EED584B"/>
    <w:rsid w:val="0F67780F"/>
    <w:rsid w:val="0F8F3C2A"/>
    <w:rsid w:val="0FB648CB"/>
    <w:rsid w:val="0FD0731A"/>
    <w:rsid w:val="0FF1533A"/>
    <w:rsid w:val="0FFE0AFA"/>
    <w:rsid w:val="10AA3C13"/>
    <w:rsid w:val="10CD0B75"/>
    <w:rsid w:val="110C4D24"/>
    <w:rsid w:val="11705AD5"/>
    <w:rsid w:val="122017FC"/>
    <w:rsid w:val="128409CA"/>
    <w:rsid w:val="12BB3A94"/>
    <w:rsid w:val="12EF585C"/>
    <w:rsid w:val="13262572"/>
    <w:rsid w:val="136D11EC"/>
    <w:rsid w:val="137D50D6"/>
    <w:rsid w:val="139B3B65"/>
    <w:rsid w:val="13D36053"/>
    <w:rsid w:val="13F75352"/>
    <w:rsid w:val="1480544B"/>
    <w:rsid w:val="14B36B91"/>
    <w:rsid w:val="164F667E"/>
    <w:rsid w:val="165D0583"/>
    <w:rsid w:val="16654289"/>
    <w:rsid w:val="16A03ECF"/>
    <w:rsid w:val="16B67BE7"/>
    <w:rsid w:val="16DB79C9"/>
    <w:rsid w:val="17141F2D"/>
    <w:rsid w:val="17A076C4"/>
    <w:rsid w:val="17A62BCE"/>
    <w:rsid w:val="17C22275"/>
    <w:rsid w:val="17E826AB"/>
    <w:rsid w:val="182601D6"/>
    <w:rsid w:val="183C1FDB"/>
    <w:rsid w:val="18D3414F"/>
    <w:rsid w:val="18D91924"/>
    <w:rsid w:val="19A96435"/>
    <w:rsid w:val="19FD6DB2"/>
    <w:rsid w:val="1A0B3A21"/>
    <w:rsid w:val="1B3329B5"/>
    <w:rsid w:val="1B5F4461"/>
    <w:rsid w:val="1B7F155B"/>
    <w:rsid w:val="1C6A6128"/>
    <w:rsid w:val="1C900E08"/>
    <w:rsid w:val="1D1F1294"/>
    <w:rsid w:val="1E8806BC"/>
    <w:rsid w:val="1EA137E3"/>
    <w:rsid w:val="1EE66AFB"/>
    <w:rsid w:val="1F0936F5"/>
    <w:rsid w:val="1F17474D"/>
    <w:rsid w:val="1F2B10F9"/>
    <w:rsid w:val="1F711839"/>
    <w:rsid w:val="1FF31E18"/>
    <w:rsid w:val="200D067C"/>
    <w:rsid w:val="20452D44"/>
    <w:rsid w:val="20811B82"/>
    <w:rsid w:val="20A662B2"/>
    <w:rsid w:val="20C1181B"/>
    <w:rsid w:val="21091739"/>
    <w:rsid w:val="211451D0"/>
    <w:rsid w:val="2151075A"/>
    <w:rsid w:val="219E74A3"/>
    <w:rsid w:val="220539DF"/>
    <w:rsid w:val="22571B82"/>
    <w:rsid w:val="22920D1D"/>
    <w:rsid w:val="22C0245E"/>
    <w:rsid w:val="23514077"/>
    <w:rsid w:val="23855295"/>
    <w:rsid w:val="23B20773"/>
    <w:rsid w:val="23CF6D67"/>
    <w:rsid w:val="248F188B"/>
    <w:rsid w:val="24E91488"/>
    <w:rsid w:val="25077EC5"/>
    <w:rsid w:val="25151459"/>
    <w:rsid w:val="25630107"/>
    <w:rsid w:val="25962669"/>
    <w:rsid w:val="25B503FE"/>
    <w:rsid w:val="25C20278"/>
    <w:rsid w:val="262D62D9"/>
    <w:rsid w:val="26681CAB"/>
    <w:rsid w:val="267E5FCE"/>
    <w:rsid w:val="27572E0B"/>
    <w:rsid w:val="277103AC"/>
    <w:rsid w:val="280C272A"/>
    <w:rsid w:val="28352D10"/>
    <w:rsid w:val="284E33F7"/>
    <w:rsid w:val="286A763B"/>
    <w:rsid w:val="287A3770"/>
    <w:rsid w:val="293606FA"/>
    <w:rsid w:val="29517179"/>
    <w:rsid w:val="29E7086A"/>
    <w:rsid w:val="2A1219AD"/>
    <w:rsid w:val="2A394321"/>
    <w:rsid w:val="2AE26D3F"/>
    <w:rsid w:val="2AF8774D"/>
    <w:rsid w:val="2B0F6E62"/>
    <w:rsid w:val="2B4E55E6"/>
    <w:rsid w:val="2B7579C5"/>
    <w:rsid w:val="2BB04900"/>
    <w:rsid w:val="2C3A3275"/>
    <w:rsid w:val="2C495744"/>
    <w:rsid w:val="2CEE6B8D"/>
    <w:rsid w:val="2D233DAE"/>
    <w:rsid w:val="2D8E403A"/>
    <w:rsid w:val="2E0770FA"/>
    <w:rsid w:val="2E145F76"/>
    <w:rsid w:val="2E610B2D"/>
    <w:rsid w:val="2EA86D09"/>
    <w:rsid w:val="2EAF208D"/>
    <w:rsid w:val="2F32226B"/>
    <w:rsid w:val="2F376D10"/>
    <w:rsid w:val="2FA231C5"/>
    <w:rsid w:val="308B65F2"/>
    <w:rsid w:val="3117229F"/>
    <w:rsid w:val="31395268"/>
    <w:rsid w:val="31950F1B"/>
    <w:rsid w:val="31A50177"/>
    <w:rsid w:val="320F0A18"/>
    <w:rsid w:val="32351CB2"/>
    <w:rsid w:val="324554E5"/>
    <w:rsid w:val="325D2B5A"/>
    <w:rsid w:val="327661FC"/>
    <w:rsid w:val="3288676B"/>
    <w:rsid w:val="32A12F92"/>
    <w:rsid w:val="32B33B5A"/>
    <w:rsid w:val="32EE27B2"/>
    <w:rsid w:val="33245EFA"/>
    <w:rsid w:val="33372789"/>
    <w:rsid w:val="333876C2"/>
    <w:rsid w:val="33484A1E"/>
    <w:rsid w:val="335F47E9"/>
    <w:rsid w:val="34057000"/>
    <w:rsid w:val="346E4104"/>
    <w:rsid w:val="3476470C"/>
    <w:rsid w:val="34D83C16"/>
    <w:rsid w:val="3509315E"/>
    <w:rsid w:val="351A4CC6"/>
    <w:rsid w:val="37705F34"/>
    <w:rsid w:val="377700B0"/>
    <w:rsid w:val="37846083"/>
    <w:rsid w:val="37AF7036"/>
    <w:rsid w:val="380927B5"/>
    <w:rsid w:val="3876150B"/>
    <w:rsid w:val="392739EA"/>
    <w:rsid w:val="392D38AD"/>
    <w:rsid w:val="3946679B"/>
    <w:rsid w:val="399A43EA"/>
    <w:rsid w:val="3A0F1960"/>
    <w:rsid w:val="3A166029"/>
    <w:rsid w:val="3A364B42"/>
    <w:rsid w:val="3AF216E5"/>
    <w:rsid w:val="3B30671A"/>
    <w:rsid w:val="3B5662AC"/>
    <w:rsid w:val="3C570BF0"/>
    <w:rsid w:val="3C727D51"/>
    <w:rsid w:val="3CCE203C"/>
    <w:rsid w:val="3CF85FE3"/>
    <w:rsid w:val="3D0C1655"/>
    <w:rsid w:val="3D4E48C8"/>
    <w:rsid w:val="3D77737D"/>
    <w:rsid w:val="3DC04E13"/>
    <w:rsid w:val="3DD244E7"/>
    <w:rsid w:val="3E5B41D6"/>
    <w:rsid w:val="3ECE16FA"/>
    <w:rsid w:val="3F072EB0"/>
    <w:rsid w:val="3F214364"/>
    <w:rsid w:val="3FF55768"/>
    <w:rsid w:val="40566CBF"/>
    <w:rsid w:val="405B0BEF"/>
    <w:rsid w:val="407921CE"/>
    <w:rsid w:val="40C04FE0"/>
    <w:rsid w:val="41AA7137"/>
    <w:rsid w:val="41EC58FB"/>
    <w:rsid w:val="42381A71"/>
    <w:rsid w:val="426B0C9E"/>
    <w:rsid w:val="42841694"/>
    <w:rsid w:val="429266C7"/>
    <w:rsid w:val="42AF1322"/>
    <w:rsid w:val="42B30ACF"/>
    <w:rsid w:val="42E73C10"/>
    <w:rsid w:val="430903EA"/>
    <w:rsid w:val="43140EC2"/>
    <w:rsid w:val="43EE582E"/>
    <w:rsid w:val="43F92766"/>
    <w:rsid w:val="43FB3DA4"/>
    <w:rsid w:val="44022066"/>
    <w:rsid w:val="441C4006"/>
    <w:rsid w:val="449E489D"/>
    <w:rsid w:val="44B24294"/>
    <w:rsid w:val="451019FB"/>
    <w:rsid w:val="455B13AC"/>
    <w:rsid w:val="45CF3CD0"/>
    <w:rsid w:val="460567D8"/>
    <w:rsid w:val="462F25DF"/>
    <w:rsid w:val="46620161"/>
    <w:rsid w:val="477A6D83"/>
    <w:rsid w:val="47C304FD"/>
    <w:rsid w:val="47C357A6"/>
    <w:rsid w:val="47D77F02"/>
    <w:rsid w:val="487C3875"/>
    <w:rsid w:val="48977283"/>
    <w:rsid w:val="48B801BF"/>
    <w:rsid w:val="48FA3778"/>
    <w:rsid w:val="49896512"/>
    <w:rsid w:val="4996414B"/>
    <w:rsid w:val="49BA3D71"/>
    <w:rsid w:val="4A5C70F1"/>
    <w:rsid w:val="4A805DC0"/>
    <w:rsid w:val="4AB61A05"/>
    <w:rsid w:val="4AD94792"/>
    <w:rsid w:val="4AF26B9D"/>
    <w:rsid w:val="4BB65435"/>
    <w:rsid w:val="4BCE1489"/>
    <w:rsid w:val="4BEA1EE4"/>
    <w:rsid w:val="4BFB2D49"/>
    <w:rsid w:val="4C293566"/>
    <w:rsid w:val="4C5C7DE3"/>
    <w:rsid w:val="4C723787"/>
    <w:rsid w:val="4CF05EAC"/>
    <w:rsid w:val="4D024A29"/>
    <w:rsid w:val="4D102CB4"/>
    <w:rsid w:val="4D9E609E"/>
    <w:rsid w:val="4E0243C8"/>
    <w:rsid w:val="4EA61F19"/>
    <w:rsid w:val="4EB053BD"/>
    <w:rsid w:val="4FBC6FAF"/>
    <w:rsid w:val="4FDC68F3"/>
    <w:rsid w:val="4FEB523B"/>
    <w:rsid w:val="50005DA1"/>
    <w:rsid w:val="502A6272"/>
    <w:rsid w:val="5041435B"/>
    <w:rsid w:val="50564CCA"/>
    <w:rsid w:val="505A1CB0"/>
    <w:rsid w:val="509778C7"/>
    <w:rsid w:val="51773E2A"/>
    <w:rsid w:val="51C53170"/>
    <w:rsid w:val="5280421D"/>
    <w:rsid w:val="52BF27F0"/>
    <w:rsid w:val="52FA1B84"/>
    <w:rsid w:val="52FC10E1"/>
    <w:rsid w:val="53584239"/>
    <w:rsid w:val="535E62F0"/>
    <w:rsid w:val="5361709F"/>
    <w:rsid w:val="53705401"/>
    <w:rsid w:val="53752E8D"/>
    <w:rsid w:val="53832E83"/>
    <w:rsid w:val="53C44BEA"/>
    <w:rsid w:val="53D45151"/>
    <w:rsid w:val="540D782C"/>
    <w:rsid w:val="542835DF"/>
    <w:rsid w:val="542F1421"/>
    <w:rsid w:val="544B51D2"/>
    <w:rsid w:val="544D013B"/>
    <w:rsid w:val="546C32BA"/>
    <w:rsid w:val="55352F87"/>
    <w:rsid w:val="5553143F"/>
    <w:rsid w:val="55B42DC5"/>
    <w:rsid w:val="56E81135"/>
    <w:rsid w:val="57221ADC"/>
    <w:rsid w:val="573B229E"/>
    <w:rsid w:val="586B2608"/>
    <w:rsid w:val="58C32166"/>
    <w:rsid w:val="58E20C36"/>
    <w:rsid w:val="592D7AE2"/>
    <w:rsid w:val="593554F0"/>
    <w:rsid w:val="5A3078C5"/>
    <w:rsid w:val="5AAC4CA7"/>
    <w:rsid w:val="5ADF3A74"/>
    <w:rsid w:val="5AE53367"/>
    <w:rsid w:val="5B0B0083"/>
    <w:rsid w:val="5BC0364C"/>
    <w:rsid w:val="5BC3228B"/>
    <w:rsid w:val="5C3B1FEA"/>
    <w:rsid w:val="5C6A01BF"/>
    <w:rsid w:val="5D041ECD"/>
    <w:rsid w:val="5E2D4C21"/>
    <w:rsid w:val="5EE41E2E"/>
    <w:rsid w:val="5F0F00DA"/>
    <w:rsid w:val="5F5E6814"/>
    <w:rsid w:val="60017F85"/>
    <w:rsid w:val="6045086B"/>
    <w:rsid w:val="60745B63"/>
    <w:rsid w:val="61051332"/>
    <w:rsid w:val="613A35CD"/>
    <w:rsid w:val="62276E9F"/>
    <w:rsid w:val="62302F88"/>
    <w:rsid w:val="62641AE0"/>
    <w:rsid w:val="62812953"/>
    <w:rsid w:val="62B7743E"/>
    <w:rsid w:val="64116858"/>
    <w:rsid w:val="648D5222"/>
    <w:rsid w:val="64B2258D"/>
    <w:rsid w:val="64D35246"/>
    <w:rsid w:val="65997784"/>
    <w:rsid w:val="65C64C37"/>
    <w:rsid w:val="661E18B5"/>
    <w:rsid w:val="66AB371C"/>
    <w:rsid w:val="66AE1192"/>
    <w:rsid w:val="66C26880"/>
    <w:rsid w:val="66CA69C3"/>
    <w:rsid w:val="67DA4215"/>
    <w:rsid w:val="67E42DFA"/>
    <w:rsid w:val="680A09E1"/>
    <w:rsid w:val="6860443E"/>
    <w:rsid w:val="68EB3ADC"/>
    <w:rsid w:val="69462386"/>
    <w:rsid w:val="6A7016FE"/>
    <w:rsid w:val="6A9F1656"/>
    <w:rsid w:val="6AFC6812"/>
    <w:rsid w:val="6B5E2EC6"/>
    <w:rsid w:val="6C42065A"/>
    <w:rsid w:val="6C6F44FD"/>
    <w:rsid w:val="6CA46349"/>
    <w:rsid w:val="6CD4731D"/>
    <w:rsid w:val="6D121910"/>
    <w:rsid w:val="6D3205F0"/>
    <w:rsid w:val="6DB702B4"/>
    <w:rsid w:val="6E504618"/>
    <w:rsid w:val="6E6A482F"/>
    <w:rsid w:val="6EB20078"/>
    <w:rsid w:val="6F4B296B"/>
    <w:rsid w:val="6F5579D7"/>
    <w:rsid w:val="6F571E7B"/>
    <w:rsid w:val="6F801AF8"/>
    <w:rsid w:val="6F8906F0"/>
    <w:rsid w:val="6F8D5AAE"/>
    <w:rsid w:val="6FFF59CB"/>
    <w:rsid w:val="70160759"/>
    <w:rsid w:val="70200B37"/>
    <w:rsid w:val="7037013D"/>
    <w:rsid w:val="704E4A67"/>
    <w:rsid w:val="70995673"/>
    <w:rsid w:val="70AA0AC2"/>
    <w:rsid w:val="70EA7511"/>
    <w:rsid w:val="71143E21"/>
    <w:rsid w:val="72867A39"/>
    <w:rsid w:val="72EE3608"/>
    <w:rsid w:val="7327462F"/>
    <w:rsid w:val="732F59FD"/>
    <w:rsid w:val="732F7900"/>
    <w:rsid w:val="7341209F"/>
    <w:rsid w:val="734B5574"/>
    <w:rsid w:val="7355417D"/>
    <w:rsid w:val="736C3FBB"/>
    <w:rsid w:val="73A85DC8"/>
    <w:rsid w:val="73C32C41"/>
    <w:rsid w:val="73CD2E0E"/>
    <w:rsid w:val="74573DE9"/>
    <w:rsid w:val="749900DE"/>
    <w:rsid w:val="74D42DA1"/>
    <w:rsid w:val="74D53B99"/>
    <w:rsid w:val="753A7704"/>
    <w:rsid w:val="754C1AAF"/>
    <w:rsid w:val="76766A5E"/>
    <w:rsid w:val="76991F3B"/>
    <w:rsid w:val="76D8737F"/>
    <w:rsid w:val="76E279D7"/>
    <w:rsid w:val="772E0626"/>
    <w:rsid w:val="7752184A"/>
    <w:rsid w:val="7754709D"/>
    <w:rsid w:val="776E285A"/>
    <w:rsid w:val="779E3171"/>
    <w:rsid w:val="77B02D8D"/>
    <w:rsid w:val="77C0093D"/>
    <w:rsid w:val="77C90B9C"/>
    <w:rsid w:val="78384CBC"/>
    <w:rsid w:val="784258BF"/>
    <w:rsid w:val="793758F2"/>
    <w:rsid w:val="79DC6C3F"/>
    <w:rsid w:val="79ED4DBE"/>
    <w:rsid w:val="7A250260"/>
    <w:rsid w:val="7A637D9B"/>
    <w:rsid w:val="7A787ECB"/>
    <w:rsid w:val="7A8B51CB"/>
    <w:rsid w:val="7AB507FA"/>
    <w:rsid w:val="7AC634CB"/>
    <w:rsid w:val="7C3A7105"/>
    <w:rsid w:val="7C41564D"/>
    <w:rsid w:val="7C4779C9"/>
    <w:rsid w:val="7C8E16C9"/>
    <w:rsid w:val="7CB561C0"/>
    <w:rsid w:val="7CCC277F"/>
    <w:rsid w:val="7CE3033A"/>
    <w:rsid w:val="7D0A2590"/>
    <w:rsid w:val="7D2A4FE0"/>
    <w:rsid w:val="7D54493D"/>
    <w:rsid w:val="7D550752"/>
    <w:rsid w:val="7D6A7A29"/>
    <w:rsid w:val="7DCC5A45"/>
    <w:rsid w:val="7E8B6D0C"/>
    <w:rsid w:val="7F285EA4"/>
    <w:rsid w:val="7F787EDB"/>
    <w:rsid w:val="7FDD5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Yu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7">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8"/>
    <w:semiHidden/>
    <w:unhideWhenUsed/>
    <w:qFormat/>
    <w:uiPriority w:val="99"/>
    <w:rPr>
      <w:b/>
      <w:bCs/>
    </w:rPr>
  </w:style>
  <w:style w:type="paragraph" w:styleId="7">
    <w:name w:val="annotation text"/>
    <w:basedOn w:val="1"/>
    <w:link w:val="57"/>
    <w:semiHidden/>
    <w:unhideWhenUsed/>
    <w:qFormat/>
    <w:uiPriority w:val="99"/>
    <w:pPr>
      <w:spacing w:line="240" w:lineRule="auto"/>
    </w:pPr>
    <w:rPr>
      <w:szCs w:val="20"/>
    </w:rPr>
  </w:style>
  <w:style w:type="paragraph" w:styleId="8">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9">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3">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character" w:styleId="18">
    <w:name w:val="FollowedHyperlink"/>
    <w:basedOn w:val="17"/>
    <w:semiHidden/>
    <w:unhideWhenUsed/>
    <w:qFormat/>
    <w:uiPriority w:val="99"/>
    <w:rPr>
      <w:color w:val="954F72" w:themeColor="followedHyperlink"/>
      <w:u w:val="single"/>
      <w14:textFill>
        <w14:solidFill>
          <w14:schemeClr w14:val="folHlink"/>
        </w14:solidFill>
      </w14:textFill>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unhideWhenUsed/>
    <w:qFormat/>
    <w:uiPriority w:val="99"/>
    <w:rPr>
      <w:sz w:val="16"/>
      <w:szCs w:val="16"/>
    </w:rPr>
  </w:style>
  <w:style w:type="table" w:styleId="22">
    <w:name w:val="Table Grid"/>
    <w:basedOn w:val="21"/>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Heading 2 Char"/>
    <w:basedOn w:val="17"/>
    <w:link w:val="3"/>
    <w:qFormat/>
    <w:uiPriority w:val="0"/>
    <w:rPr>
      <w:rFonts w:ascii="Arial" w:hAnsi="Arial" w:eastAsia="Times New Roman" w:cs="Times New Roman"/>
      <w:sz w:val="32"/>
      <w:szCs w:val="20"/>
      <w:lang w:val="en-GB"/>
    </w:rPr>
  </w:style>
  <w:style w:type="character" w:customStyle="1" w:styleId="24">
    <w:name w:val="Heading 1 Char"/>
    <w:basedOn w:val="17"/>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7"/>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7"/>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8"/>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7"/>
    <w:link w:val="8"/>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7"/>
    <w:semiHidden/>
    <w:unhideWhenUsed/>
    <w:qFormat/>
    <w:uiPriority w:val="99"/>
    <w:rPr>
      <w:color w:val="808080"/>
      <w:shd w:val="clear" w:color="auto" w:fill="E6E6E6"/>
    </w:rPr>
  </w:style>
  <w:style w:type="character" w:customStyle="1" w:styleId="42">
    <w:name w:val="Heading 4 Char"/>
    <w:basedOn w:val="17"/>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7"/>
    <w:link w:val="9"/>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7"/>
    <w:link w:val="13"/>
    <w:semiHidden/>
    <w:qFormat/>
    <w:locked/>
    <w:uiPriority w:val="0"/>
    <w:rPr>
      <w:rFonts w:ascii="Tms Rmn" w:hAnsi="Tms Rmn"/>
      <w:b/>
      <w:sz w:val="18"/>
    </w:rPr>
  </w:style>
  <w:style w:type="character" w:customStyle="1" w:styleId="53">
    <w:name w:val="Header Char1"/>
    <w:basedOn w:val="17"/>
    <w:semiHidden/>
    <w:qFormat/>
    <w:uiPriority w:val="99"/>
    <w:rPr>
      <w:rFonts w:ascii="Times New Roman" w:hAnsi="Times New Roman"/>
      <w:sz w:val="20"/>
    </w:rPr>
  </w:style>
  <w:style w:type="character" w:customStyle="1" w:styleId="54">
    <w:name w:val="Balloon Text Char"/>
    <w:basedOn w:val="17"/>
    <w:link w:val="12"/>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7"/>
    <w:link w:val="7"/>
    <w:semiHidden/>
    <w:qFormat/>
    <w:uiPriority w:val="99"/>
    <w:rPr>
      <w:rFonts w:ascii="Times New Roman" w:hAnsi="Times New Roman"/>
      <w:sz w:val="20"/>
      <w:szCs w:val="20"/>
    </w:rPr>
  </w:style>
  <w:style w:type="character" w:customStyle="1" w:styleId="58">
    <w:name w:val="Comment Subject Char"/>
    <w:basedOn w:val="57"/>
    <w:link w:val="6"/>
    <w:semiHidden/>
    <w:qFormat/>
    <w:uiPriority w:val="99"/>
    <w:rPr>
      <w:rFonts w:ascii="Times New Roman" w:hAnsi="Times New Roman"/>
      <w:b/>
      <w:bCs/>
      <w:sz w:val="20"/>
      <w:szCs w:val="20"/>
    </w:rPr>
  </w:style>
  <w:style w:type="paragraph" w:customStyle="1" w:styleId="59">
    <w:name w:val="3GPP Normal Text"/>
    <w:basedOn w:val="9"/>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1"/>
    <w:qFormat/>
    <w:uiPriority w:val="0"/>
  </w:style>
  <w:style w:type="paragraph" w:customStyle="1" w:styleId="66">
    <w:name w:val="main text"/>
    <w:basedOn w:val="1"/>
    <w:qFormat/>
    <w:uiPriority w:val="0"/>
    <w:pPr>
      <w:spacing w:before="60" w:after="60" w:line="288" w:lineRule="auto"/>
      <w:ind w:firstLine="200" w:firstLineChars="200"/>
      <w:jc w:val="both"/>
    </w:pPr>
    <w:rPr>
      <w:rFonts w:ascii="Times New Roman" w:hAnsi="Times New Roman" w:eastAsia="Malgun Gothic" w:cs="Batang"/>
      <w:szCs w:val="20"/>
      <w:lang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0</TotalTime>
  <ScaleCrop>false</ScaleCrop>
  <LinksUpToDate>false</LinksUpToDate>
  <CharactersWithSpaces>6220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2020-02-10T09:29:22Z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